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3B" w:rsidRDefault="00BE0E3B" w:rsidP="00E04F64">
      <w:pPr>
        <w:framePr w:hSpace="180" w:wrap="around" w:vAnchor="text" w:hAnchor="page" w:x="6025" w:y="-200"/>
        <w:suppressLineNumbers/>
        <w:suppressAutoHyphens/>
      </w:pPr>
    </w:p>
    <w:p w:rsidR="00BE0E3B" w:rsidRPr="00F134F5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BE0E3B" w:rsidRDefault="00044513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BE0E3B" w:rsidRPr="005267AF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BE0E3B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BE0E3B" w:rsidRPr="00F134F5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BE0E3B" w:rsidRDefault="00BE0E3B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:rsidR="00BE0E3B" w:rsidRPr="00F134F5" w:rsidRDefault="00BE0E3B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:rsidR="00BE0E3B" w:rsidRDefault="00BE0E3B">
      <w:pPr>
        <w:pStyle w:val="11"/>
        <w:suppressLineNumbers/>
        <w:suppressAutoHyphens/>
        <w:rPr>
          <w:sz w:val="26"/>
        </w:rPr>
      </w:pPr>
    </w:p>
    <w:p w:rsidR="00BE0E3B" w:rsidRDefault="00044513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06.12</w:t>
      </w:r>
      <w:r w:rsidR="00BE0E3B" w:rsidRPr="005D21AE">
        <w:rPr>
          <w:b/>
          <w:sz w:val="26"/>
        </w:rPr>
        <w:t xml:space="preserve">.2021 года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Санкт-Петербург                                        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   №</w:t>
      </w:r>
      <w:r>
        <w:rPr>
          <w:b/>
          <w:sz w:val="26"/>
        </w:rPr>
        <w:t xml:space="preserve"> 590</w:t>
      </w:r>
    </w:p>
    <w:p w:rsidR="00BE0E3B" w:rsidRPr="005547CB" w:rsidRDefault="00BE0E3B">
      <w:pPr>
        <w:suppressLineNumbers/>
        <w:suppressAutoHyphens/>
        <w:jc w:val="both"/>
        <w:rPr>
          <w:sz w:val="16"/>
          <w:szCs w:val="16"/>
        </w:rPr>
      </w:pPr>
    </w:p>
    <w:p w:rsidR="00BE0E3B" w:rsidRDefault="00044513" w:rsidP="00E926FD">
      <w:pPr>
        <w:pStyle w:val="a5"/>
        <w:ind w:right="4960" w:firstLine="0"/>
        <w:rPr>
          <w:b/>
          <w:sz w:val="20"/>
        </w:rPr>
      </w:pPr>
      <w:r w:rsidRPr="00044513">
        <w:rPr>
          <w:b/>
          <w:sz w:val="20"/>
        </w:rPr>
        <w:t xml:space="preserve">О внесении изменений в Постановление МА МО КА </w:t>
      </w:r>
      <w:r>
        <w:rPr>
          <w:b/>
          <w:sz w:val="20"/>
        </w:rPr>
        <w:t>№ 555 от 28.10.2021 года «</w:t>
      </w:r>
      <w:r w:rsidR="00BE0E3B" w:rsidRPr="005D1325">
        <w:rPr>
          <w:b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</w:t>
      </w:r>
      <w:r w:rsidR="00BE0E3B">
        <w:rPr>
          <w:b/>
          <w:sz w:val="20"/>
        </w:rPr>
        <w:t>на 2022 год.</w:t>
      </w:r>
      <w:r w:rsidR="00BE0E3B" w:rsidRPr="00E926FD">
        <w:rPr>
          <w:b/>
        </w:rPr>
        <w:t xml:space="preserve"> </w:t>
      </w:r>
      <w:r w:rsidR="00BE0E3B" w:rsidRPr="00CF6FD6">
        <w:rPr>
          <w:b/>
          <w:sz w:val="20"/>
        </w:rPr>
        <w:t>Об утверждении нормативов срока полезного использования основных средств</w:t>
      </w:r>
      <w:r w:rsidR="00BE0E3B">
        <w:rPr>
          <w:b/>
          <w:sz w:val="20"/>
        </w:rPr>
        <w:t xml:space="preserve"> </w:t>
      </w:r>
      <w:r w:rsidR="00BE0E3B" w:rsidRPr="00CF6FD6">
        <w:rPr>
          <w:b/>
          <w:sz w:val="20"/>
        </w:rPr>
        <w:t>и ц</w:t>
      </w:r>
      <w:r w:rsidR="00BE0E3B">
        <w:rPr>
          <w:b/>
          <w:sz w:val="20"/>
        </w:rPr>
        <w:t>ены товаров, работ, услуг на 2022</w:t>
      </w:r>
      <w:r w:rsidR="00BE0E3B" w:rsidRPr="00CF6FD6">
        <w:rPr>
          <w:b/>
          <w:sz w:val="20"/>
        </w:rPr>
        <w:t xml:space="preserve"> год</w:t>
      </w:r>
      <w:r>
        <w:rPr>
          <w:b/>
          <w:sz w:val="20"/>
        </w:rPr>
        <w:t>.»</w:t>
      </w:r>
    </w:p>
    <w:p w:rsidR="00BE0E3B" w:rsidRPr="00B35886" w:rsidRDefault="00BE0E3B" w:rsidP="00E96F77">
      <w:pPr>
        <w:pStyle w:val="a5"/>
        <w:ind w:right="7768" w:firstLine="0"/>
        <w:rPr>
          <w:b/>
          <w:sz w:val="20"/>
        </w:rPr>
      </w:pPr>
    </w:p>
    <w:p w:rsidR="00BE0E3B" w:rsidRPr="005547CB" w:rsidRDefault="00BE0E3B" w:rsidP="00F03F45">
      <w:pPr>
        <w:pStyle w:val="a5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E0E3B" w:rsidRPr="00C70FA1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C70FA1">
        <w:rPr>
          <w:rFonts w:ascii="Times New Roman" w:hAnsi="Times New Roman" w:cs="Times New Roman"/>
          <w:b/>
          <w:szCs w:val="22"/>
        </w:rPr>
        <w:tab/>
      </w:r>
      <w:r w:rsidRPr="00C70FA1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C70FA1">
          <w:rPr>
            <w:rFonts w:ascii="Times New Roman" w:hAnsi="Times New Roman" w:cs="Times New Roman"/>
            <w:szCs w:val="22"/>
          </w:rPr>
          <w:t>2014 г</w:t>
        </w:r>
      </w:smartTag>
      <w:r w:rsidRPr="00C70FA1">
        <w:rPr>
          <w:rFonts w:ascii="Times New Roman" w:hAnsi="Times New Roman" w:cs="Times New Roman"/>
          <w:szCs w:val="22"/>
        </w:rPr>
        <w:t xml:space="preserve">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на основании постановления Местной администрации внутригородского Муниципального образования Санкт-Петербурга Муниципальный округ Комендантский аэродром от 23.11.2016 №477 «Об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   </w:t>
      </w:r>
    </w:p>
    <w:p w:rsidR="00BE0E3B" w:rsidRPr="00C70FA1" w:rsidRDefault="00BE0E3B" w:rsidP="00B35886">
      <w:pPr>
        <w:pStyle w:val="a5"/>
        <w:ind w:firstLine="0"/>
        <w:jc w:val="center"/>
        <w:rPr>
          <w:sz w:val="22"/>
          <w:szCs w:val="22"/>
        </w:rPr>
      </w:pPr>
      <w:r w:rsidRPr="00C70FA1">
        <w:rPr>
          <w:b/>
          <w:sz w:val="22"/>
          <w:szCs w:val="22"/>
        </w:rPr>
        <w:t>ПОСТАНОВЛЯЮ</w:t>
      </w:r>
      <w:r w:rsidRPr="00C70FA1">
        <w:rPr>
          <w:sz w:val="22"/>
          <w:szCs w:val="22"/>
        </w:rPr>
        <w:t>:</w:t>
      </w:r>
    </w:p>
    <w:p w:rsidR="00044513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p w:rsidR="00044513" w:rsidRPr="00044513" w:rsidRDefault="00044513" w:rsidP="00044513">
      <w:pPr>
        <w:rPr>
          <w:sz w:val="22"/>
          <w:szCs w:val="22"/>
        </w:rPr>
      </w:pPr>
      <w:r>
        <w:rPr>
          <w:szCs w:val="22"/>
        </w:rPr>
        <w:t xml:space="preserve">           1</w:t>
      </w:r>
      <w:r w:rsidRPr="00044513">
        <w:rPr>
          <w:sz w:val="22"/>
          <w:szCs w:val="22"/>
        </w:rPr>
        <w:t>. Внести изменения</w:t>
      </w:r>
      <w:r>
        <w:rPr>
          <w:szCs w:val="22"/>
        </w:rPr>
        <w:t xml:space="preserve"> </w:t>
      </w:r>
      <w:r w:rsidRPr="00044513">
        <w:rPr>
          <w:sz w:val="22"/>
          <w:szCs w:val="22"/>
        </w:rPr>
        <w:t>в Постановление МА МО КА № 555 от 28.10.2021 года 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на 2022 год. Об утверждении нормативов срока полезного использования основных средств и цены товаров, работ, услуг на 2022 год.»</w:t>
      </w:r>
    </w:p>
    <w:p w:rsidR="00BE0E3B" w:rsidRPr="00C70FA1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BE0E3B" w:rsidRPr="00C70FA1">
        <w:rPr>
          <w:rFonts w:ascii="Times New Roman" w:hAnsi="Times New Roman" w:cs="Times New Roman"/>
          <w:szCs w:val="22"/>
        </w:rPr>
        <w:t>. Утвердить нормативные затраты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</w:t>
      </w:r>
      <w:r>
        <w:rPr>
          <w:rFonts w:ascii="Times New Roman" w:hAnsi="Times New Roman" w:cs="Times New Roman"/>
          <w:szCs w:val="22"/>
        </w:rPr>
        <w:t>ендантский аэродром на 2022 год,</w:t>
      </w:r>
      <w:r w:rsidRPr="00044513">
        <w:t xml:space="preserve"> </w:t>
      </w:r>
      <w:r w:rsidRPr="00044513">
        <w:rPr>
          <w:rFonts w:ascii="Times New Roman" w:hAnsi="Times New Roman" w:cs="Times New Roman"/>
          <w:szCs w:val="22"/>
        </w:rPr>
        <w:t>изложив Приложение №1, Приложение №2 в редакции, согласно Приложению №1, Приложению №2 к настоящему Постановлению.</w:t>
      </w:r>
    </w:p>
    <w:p w:rsidR="00BE0E3B" w:rsidRPr="00C70FA1" w:rsidRDefault="00044513" w:rsidP="00120AA7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3</w:t>
      </w:r>
      <w:r w:rsidR="00BE0E3B" w:rsidRPr="00C70FA1">
        <w:rPr>
          <w:sz w:val="22"/>
          <w:szCs w:val="22"/>
        </w:rPr>
        <w:t>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BE0E3B" w:rsidRPr="00C70FA1" w:rsidRDefault="00044513" w:rsidP="00120AA7">
      <w:pPr>
        <w:pStyle w:val="Style8"/>
        <w:widowControl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BE0E3B" w:rsidRPr="00C70FA1">
        <w:rPr>
          <w:sz w:val="22"/>
          <w:szCs w:val="22"/>
        </w:rPr>
        <w:t xml:space="preserve">. Утвердить следующие нормативы цены товаров, работ, услуг на 2022 год, согласно Приложению № 2 к настоящему постановлению.  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BE0E3B" w:rsidRPr="00C70FA1">
        <w:rPr>
          <w:sz w:val="22"/>
          <w:szCs w:val="22"/>
        </w:rPr>
        <w:t>. Разместить указанное постановление в единой информационной системе в сфере закупок не позднее семи дней после его официального опубликования.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BE0E3B" w:rsidRPr="00C70FA1">
        <w:rPr>
          <w:sz w:val="22"/>
          <w:szCs w:val="22"/>
        </w:rPr>
        <w:t>. Контроль исполнения настоящего постановления оставляю за собой.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BE0E3B" w:rsidRPr="00C70FA1">
        <w:rPr>
          <w:sz w:val="22"/>
          <w:szCs w:val="22"/>
        </w:rPr>
        <w:t>. Настоящее постановление вступает в силу с момента его принятия.</w:t>
      </w:r>
    </w:p>
    <w:p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E0E3B" w:rsidRPr="00C70FA1" w:rsidTr="00B74908">
        <w:tc>
          <w:tcPr>
            <w:tcW w:w="3794" w:type="dxa"/>
            <w:vAlign w:val="center"/>
          </w:tcPr>
          <w:p w:rsidR="00BE0E3B" w:rsidRPr="00C70FA1" w:rsidRDefault="00BE0E3B" w:rsidP="00B74908">
            <w:pPr>
              <w:pStyle w:val="6"/>
              <w:spacing w:before="0" w:after="0"/>
              <w:ind w:right="-1"/>
              <w:rPr>
                <w:b w:val="0"/>
              </w:rPr>
            </w:pPr>
            <w:r w:rsidRPr="00C70FA1">
              <w:rPr>
                <w:b w:val="0"/>
              </w:rPr>
              <w:t xml:space="preserve">Глава Местной администрации  </w:t>
            </w:r>
          </w:p>
          <w:p w:rsidR="00BE0E3B" w:rsidRPr="00C70FA1" w:rsidRDefault="00BE0E3B" w:rsidP="00EA789F">
            <w:pPr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E0E3B" w:rsidRPr="00C70FA1" w:rsidRDefault="00BE0E3B" w:rsidP="00EA789F">
            <w:pPr>
              <w:rPr>
                <w:sz w:val="22"/>
                <w:szCs w:val="22"/>
              </w:rPr>
            </w:pPr>
          </w:p>
          <w:p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М.Ю.Брызгалова</w:t>
            </w:r>
          </w:p>
        </w:tc>
      </w:tr>
    </w:tbl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Приложение</w:t>
      </w:r>
      <w:r w:rsidR="00044513">
        <w:rPr>
          <w:rFonts w:ascii="Times New Roman" w:hAnsi="Times New Roman" w:cs="Times New Roman"/>
          <w:sz w:val="20"/>
        </w:rPr>
        <w:t xml:space="preserve"> №</w:t>
      </w:r>
      <w:r w:rsidRPr="00120AA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  <w:r w:rsidRPr="00120AA7">
        <w:rPr>
          <w:rFonts w:ascii="Times New Roman" w:hAnsi="Times New Roman" w:cs="Times New Roman"/>
          <w:sz w:val="20"/>
        </w:rPr>
        <w:t xml:space="preserve"> к ПМА</w:t>
      </w: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06.12.2021г. № 590</w:t>
      </w:r>
    </w:p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от 28.10.2021г. № 555</w:t>
      </w:r>
    </w:p>
    <w:p w:rsidR="00BE0E3B" w:rsidRPr="00FB0AD3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603"/>
        <w:gridCol w:w="8461"/>
      </w:tblGrid>
      <w:tr w:rsidR="00BE0E3B" w:rsidRPr="00F134F5" w:rsidTr="003A2D93">
        <w:trPr>
          <w:trHeight w:val="933"/>
        </w:trPr>
        <w:tc>
          <w:tcPr>
            <w:tcW w:w="851" w:type="dxa"/>
          </w:tcPr>
          <w:p w:rsidR="00BE0E3B" w:rsidRPr="00F134F5" w:rsidRDefault="00BE0E3B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</w:tcPr>
          <w:p w:rsidR="00BE0E3B" w:rsidRPr="00F134F5" w:rsidRDefault="00BE0E3B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</w:tcPr>
          <w:p w:rsidR="00BE0E3B" w:rsidRPr="00F134F5" w:rsidRDefault="00BE0E3B" w:rsidP="004650B0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>
              <w:rPr>
                <w:b/>
              </w:rPr>
              <w:t>ачение нормативных затрат на 2022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461" w:type="dxa"/>
          </w:tcPr>
          <w:p w:rsidR="00BE0E3B" w:rsidRPr="00521806" w:rsidRDefault="00BE0E3B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A577E8" w:rsidRDefault="00BE0E3B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1 237 501,00</w:t>
            </w:r>
          </w:p>
        </w:tc>
        <w:tc>
          <w:tcPr>
            <w:tcW w:w="8461" w:type="dxa"/>
          </w:tcPr>
          <w:p w:rsidR="00BE0E3B" w:rsidRPr="00521806" w:rsidRDefault="00BE0E3B" w:rsidP="00A577E8">
            <w:pPr>
              <w:jc w:val="center"/>
            </w:pP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603" w:type="dxa"/>
          </w:tcPr>
          <w:p w:rsidR="00BE0E3B" w:rsidRPr="003529C6" w:rsidRDefault="00BE0E3B" w:rsidP="0026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8461" w:type="dxa"/>
          </w:tcPr>
          <w:p w:rsidR="00BE0E3B" w:rsidRPr="00521806" w:rsidRDefault="00BE0E3B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603" w:type="dxa"/>
          </w:tcPr>
          <w:p w:rsidR="00BE0E3B" w:rsidRPr="003529C6" w:rsidRDefault="00BE0E3B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86 000,00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="005D06B4">
              <w:rPr>
                <w:noProof/>
                <w:position w:val="-12"/>
              </w:rPr>
              <w:pict>
                <v:shape id="Рисунок 91" o:spid="_x0000_i1026" type="#_x0000_t75" style="width:21.75pt;height:19.5pt;visibility:visible">
                  <v:imagedata r:id="rId8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90" o:spid="_x0000_i1027" type="#_x0000_t75" style="width:162pt;height:36.75pt;visibility:visible">
                  <v:imagedata r:id="rId9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9" o:spid="_x0000_i1028" type="#_x0000_t75" style="width:26.25pt;height:19.5pt;visibility:visible">
                  <v:imagedata r:id="rId10" o:title=""/>
                </v:shape>
              </w:pict>
            </w:r>
            <w:r w:rsidR="00BE0E3B"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8" o:spid="_x0000_i1029" type="#_x0000_t75" style="width:24pt;height:19.5pt;visibility:visible">
                  <v:imagedata r:id="rId11" o:title=""/>
                </v:shape>
              </w:pict>
            </w:r>
            <w:r w:rsidR="00BE0E3B"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7" o:spid="_x0000_i1030" type="#_x0000_t75" style="width:27.75pt;height:19.5pt;visibility:visible">
                  <v:imagedata r:id="rId12" o:title=""/>
                </v:shape>
              </w:pict>
            </w:r>
            <w:r w:rsidR="00BE0E3B"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603" w:type="dxa"/>
          </w:tcPr>
          <w:p w:rsidR="00BE0E3B" w:rsidRPr="003529C6" w:rsidRDefault="00BE0E3B" w:rsidP="00F32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="005D06B4">
              <w:rPr>
                <w:noProof/>
                <w:position w:val="-12"/>
              </w:rPr>
              <w:pict>
                <v:shape id="Рисунок 86" o:spid="_x0000_i1031" type="#_x0000_t75" style="width:15pt;height:19.5pt;visibility:visible">
                  <v:imagedata r:id="rId1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85" o:spid="_x0000_i1032" type="#_x0000_t75" style="width:134.25pt;height:36.75pt;visibility:visible">
                  <v:imagedata r:id="rId14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="005D06B4">
              <w:rPr>
                <w:noProof/>
                <w:position w:val="-12"/>
              </w:rPr>
              <w:pict>
                <v:shape id="Рисунок 84" o:spid="_x0000_i1033" type="#_x0000_t75" style="width:21.75pt;height:19.5pt;visibility:visible">
                  <v:imagedata r:id="rId15" o:title=""/>
                </v:shape>
              </w:pict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83" o:spid="_x0000_i1034" type="#_x0000_t75" style="width:19.5pt;height:19.5pt;visibility:visible">
                  <v:imagedata r:id="rId16" o:title=""/>
                </v:shape>
              </w:pict>
            </w:r>
            <w:r w:rsidR="00BE0E3B" w:rsidRPr="00521806">
              <w:t xml:space="preserve"> - месячная цена аренды канала передачи данных сети "Интернет" с i-й пропускной способностью;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lastRenderedPageBreak/>
              <w:pict>
                <v:shape id="Рисунок 82" o:spid="_x0000_i1035" type="#_x0000_t75" style="width:21.75pt;height:19.5pt;visibility:visible">
                  <v:imagedata r:id="rId17" o:title=""/>
                </v:shape>
              </w:pict>
            </w:r>
            <w:r w:rsidR="00BE0E3B"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BE0E3B" w:rsidRPr="003529C6" w:rsidTr="003A2D93">
        <w:trPr>
          <w:trHeight w:val="201"/>
        </w:trPr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603" w:type="dxa"/>
          </w:tcPr>
          <w:p w:rsidR="00BE0E3B" w:rsidRPr="003529C6" w:rsidRDefault="00BE0E3B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1" o:spid="_x0000_i1036" type="#_x0000_t75" style="width:17.25pt;height:17.25pt;visibility:visible">
                  <v:imagedata r:id="rId1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521806" w:rsidRDefault="005D06B4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0" o:spid="_x0000_i1037" type="#_x0000_t75" style="width:135.75pt;height:32.25pt;visibility:visible">
                  <v:imagedata r:id="rId19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9" o:spid="_x0000_i1038" type="#_x0000_t75" style="width:21.75pt;height:17.25pt;visibility:visible">
                  <v:imagedata r:id="rId20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BE0E3B" w:rsidRPr="00521806" w:rsidRDefault="005D06B4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8" o:spid="_x0000_i1039" type="#_x0000_t75" style="width:21.75pt;height:17.25pt;visibility:visible">
                  <v:imagedata r:id="rId21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BE0E3B" w:rsidRPr="00521806" w:rsidRDefault="005D06B4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7" o:spid="_x0000_i1040" type="#_x0000_t75" style="width:24pt;height:17.25pt;visibility:visible">
                  <v:imagedata r:id="rId22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BE0E3B" w:rsidRPr="003529C6" w:rsidTr="003A2D93">
        <w:trPr>
          <w:trHeight w:val="201"/>
        </w:trPr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603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323771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BE0E3B" w:rsidRPr="00521806" w:rsidRDefault="00BE0E3B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BE0E3B" w:rsidRPr="00521806" w:rsidRDefault="00BE0E3B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="005D06B4">
              <w:rPr>
                <w:noProof/>
                <w:position w:val="-14"/>
              </w:rPr>
              <w:pict>
                <v:shape id="Рисунок 76" o:spid="_x0000_i1041" type="#_x0000_t75" style="width:24pt;height:19.5pt;visibility:visible">
                  <v:imagedata r:id="rId2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75" o:spid="_x0000_i1042" type="#_x0000_t75" style="width:120.75pt;height:36.75pt;visibility:visible">
                  <v:imagedata r:id="rId24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74" o:spid="_x0000_i1043" type="#_x0000_t75" style="width:30pt;height:19.5pt;visibility:visible">
                  <v:imagedata r:id="rId25" o:title=""/>
                </v:shape>
              </w:pict>
            </w:r>
            <w:r w:rsidR="00BE0E3B"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73" o:spid="_x0000_i1044" type="#_x0000_t75" style="width:26.25pt;height:19.5pt;visibility:visible">
                  <v:imagedata r:id="rId26" o:title=""/>
                </v:shape>
              </w:pict>
            </w:r>
            <w:r w:rsidR="00BE0E3B"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</w:tcPr>
          <w:p w:rsidR="00BE0E3B" w:rsidRPr="003529C6" w:rsidRDefault="00BE0E3B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603" w:type="dxa"/>
          </w:tcPr>
          <w:p w:rsidR="00BE0E3B" w:rsidRPr="003529C6" w:rsidRDefault="00BE0E3B" w:rsidP="00E8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891 901,00</w:t>
            </w:r>
          </w:p>
          <w:p w:rsidR="00BE0E3B" w:rsidRPr="003529C6" w:rsidRDefault="00BE0E3B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03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373 085,00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="005D06B4">
              <w:rPr>
                <w:noProof/>
                <w:position w:val="-12"/>
              </w:rPr>
              <w:pict>
                <v:shape id="Рисунок 68" o:spid="_x0000_i1045" type="#_x0000_t75" style="width:24pt;height:19.5pt;visibility:visible">
                  <v:imagedata r:id="rId27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lastRenderedPageBreak/>
              <w:pict>
                <v:shape id="Рисунок 67" o:spid="_x0000_i1046" type="#_x0000_t75" style="width:81.75pt;height:36.75pt;visibility:visible">
                  <v:imagedata r:id="rId28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="005D06B4">
              <w:rPr>
                <w:noProof/>
                <w:position w:val="-12"/>
              </w:rPr>
              <w:pict>
                <v:shape id="Рисунок 66" o:spid="_x0000_i1047" type="#_x0000_t75" style="width:27.75pt;height:19.5pt;visibility:visible">
                  <v:imagedata r:id="rId29" o:title=""/>
                </v:shape>
              </w:pict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03" w:type="dxa"/>
          </w:tcPr>
          <w:p w:rsidR="00BE0E3B" w:rsidRPr="003529C6" w:rsidRDefault="00BE0E3B" w:rsidP="00E07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518 816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 w:rsidR="005D06B4">
              <w:rPr>
                <w:noProof/>
              </w:rPr>
              <w:pict>
                <v:shape id="Рисунок 65" o:spid="_x0000_i1048" type="#_x0000_t75" style="width:21.75pt;height:19.5pt;visibility:visible">
                  <v:imagedata r:id="rId30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Рисунок 64" o:spid="_x0000_i1049" type="#_x0000_t75" style="width:135.75pt;height:36.75pt;visibility:visible">
                  <v:imagedata r:id="rId31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63" o:spid="_x0000_i1050" type="#_x0000_t75" style="width:27.75pt;height:19.5pt;visibility:visible">
                  <v:imagedata r:id="rId32" o:title=""/>
                </v:shape>
              </w:pict>
            </w:r>
            <w:r w:rsidR="00BE0E3B"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62" o:spid="_x0000_i1051" type="#_x0000_t75" style="width:26.25pt;height:19.5pt;visibility:visible">
                  <v:imagedata r:id="rId33" o:title=""/>
                </v:shape>
              </w:pict>
            </w:r>
            <w:r w:rsidR="00BE0E3B"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</w:t>
            </w:r>
          </w:p>
        </w:tc>
        <w:tc>
          <w:tcPr>
            <w:tcW w:w="3969" w:type="dxa"/>
          </w:tcPr>
          <w:p w:rsidR="00BE0E3B" w:rsidRPr="003529C6" w:rsidRDefault="00BE0E3B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603" w:type="dxa"/>
          </w:tcPr>
          <w:p w:rsidR="00BE0E3B" w:rsidRPr="003529C6" w:rsidRDefault="00BE0E3B" w:rsidP="0081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 включают в себя: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</w:tcPr>
          <w:p w:rsidR="00BE0E3B" w:rsidRPr="003529C6" w:rsidRDefault="00BE0E3B" w:rsidP="00E47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="005D06B4">
              <w:rPr>
                <w:noProof/>
                <w:position w:val="-14"/>
              </w:rPr>
              <w:pict>
                <v:shape id="Рисунок 61" o:spid="_x0000_i1052" type="#_x0000_t75" style="width:19.5pt;height:19.5pt;visibility:visible">
                  <v:imagedata r:id="rId34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60" o:spid="_x0000_i1053" type="#_x0000_t75" style="width:153pt;height:36.75pt;visibility:visible">
                  <v:imagedata r:id="rId35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59" o:spid="_x0000_i1054" type="#_x0000_t75" style="width:26.25pt;height:19.5pt;visibility:visible">
                  <v:imagedata r:id="rId36" o:title=""/>
                </v:shape>
              </w:pict>
            </w:r>
            <w:r w:rsidR="00BE0E3B"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58" o:spid="_x0000_i1055" type="#_x0000_t75" style="width:26.25pt;height:19.5pt;visibility:visible">
                  <v:imagedata r:id="rId37" o:title=""/>
                </v:shape>
              </w:pict>
            </w:r>
            <w:r w:rsidR="00BE0E3B"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4"/>
              </w:rPr>
              <w:pict>
                <v:shape id="Рисунок 57" o:spid="_x0000_i1056" type="#_x0000_t75" style="width:24pt;height:19.5pt;visibility:visible">
                  <v:imagedata r:id="rId38" o:title=""/>
                </v:shape>
              </w:pict>
            </w:r>
            <w:r w:rsidR="00BE0E3B"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="00BE0E3B" w:rsidRPr="00521806">
                <w:t>статьей 22</w:t>
              </w:r>
            </w:hyperlink>
            <w:r w:rsidR="00BE0E3B" w:rsidRPr="00521806">
              <w:t xml:space="preserve"> </w:t>
            </w:r>
            <w:r w:rsidR="00BE0E3B" w:rsidRPr="00521806">
              <w:lastRenderedPageBreak/>
              <w:t>Федерального закона.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603" w:type="dxa"/>
          </w:tcPr>
          <w:p w:rsidR="00BE0E3B" w:rsidRPr="003529C6" w:rsidRDefault="00BE0E3B" w:rsidP="00F9791F">
            <w:pPr>
              <w:jc w:val="center"/>
              <w:rPr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3 </w:t>
            </w:r>
            <w:r w:rsidR="002B663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49 442,00</w:t>
            </w:r>
          </w:p>
        </w:tc>
        <w:tc>
          <w:tcPr>
            <w:tcW w:w="8461" w:type="dxa"/>
          </w:tcPr>
          <w:p w:rsidR="00BE0E3B" w:rsidRPr="00521806" w:rsidRDefault="00BE0E3B" w:rsidP="00FC74BD"/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BE0E3B" w:rsidRPr="003529C6" w:rsidRDefault="00BE0E3B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87 400,00</w:t>
            </w:r>
          </w:p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7B6E02">
            <w:r w:rsidRPr="00521806">
              <w:t>Затраты на услуги связи включают в себя:</w:t>
            </w:r>
          </w:p>
          <w:p w:rsidR="00BE0E3B" w:rsidRPr="00521806" w:rsidRDefault="00BE0E3B" w:rsidP="007B6E02">
            <w:r w:rsidRPr="00521806">
              <w:t>затраты на оплату услуг почтовой связи;</w:t>
            </w:r>
          </w:p>
          <w:p w:rsidR="00BE0E3B" w:rsidRDefault="00BE0E3B" w:rsidP="007B6E02">
            <w:r w:rsidRPr="00521806">
              <w:t>затраты на оплату услуг специальной связи</w:t>
            </w:r>
          </w:p>
          <w:p w:rsidR="00BE0E3B" w:rsidRDefault="00BE0E3B" w:rsidP="007B6E02">
            <w:r>
              <w:t>з</w:t>
            </w:r>
            <w:r w:rsidRPr="005F792D">
              <w:t>атраты на услуги нотариуса</w:t>
            </w:r>
          </w:p>
          <w:p w:rsidR="00BE0E3B" w:rsidRPr="00521806" w:rsidRDefault="00BE0E3B" w:rsidP="007B6E02"/>
          <w:p w:rsidR="00BE0E3B" w:rsidRPr="00521806" w:rsidRDefault="00BE0E3B" w:rsidP="007B6E02"/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603" w:type="dxa"/>
          </w:tcPr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="005D06B4">
              <w:rPr>
                <w:noProof/>
                <w:position w:val="-12"/>
              </w:rPr>
              <w:pict>
                <v:shape id="Рисунок 56" o:spid="_x0000_i1057" type="#_x0000_t75" style="width:15pt;height:19.5pt;visibility:visible">
                  <v:imagedata r:id="rId40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55" o:spid="_x0000_i1058" type="#_x0000_t75" style="width:97.5pt;height:36.75pt;visibility:visible">
                  <v:imagedata r:id="rId41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54" o:spid="_x0000_i1059" type="#_x0000_t75" style="width:21.75pt;height:19.5pt;visibility:visible">
                  <v:imagedata r:id="rId42" o:title=""/>
                </v:shape>
              </w:pict>
            </w:r>
            <w:r w:rsidR="00BE0E3B" w:rsidRPr="00521806">
              <w:t xml:space="preserve"> - планируемое количество i-х почтовых отправлений в год;</w:t>
            </w:r>
          </w:p>
          <w:p w:rsidR="00BE0E3B" w:rsidRPr="00521806" w:rsidRDefault="005D06B4" w:rsidP="007B6E02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53" o:spid="_x0000_i1060" type="#_x0000_t75" style="width:19.5pt;height:19.5pt;visibility:visible">
                  <v:imagedata r:id="rId43" o:title=""/>
                </v:shape>
              </w:pict>
            </w:r>
            <w:r w:rsidR="00BE0E3B" w:rsidRPr="00521806">
              <w:t xml:space="preserve"> - цена 1 i-го почтового отправления.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603" w:type="dxa"/>
          </w:tcPr>
          <w:p w:rsidR="00BE0E3B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554 600,00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828 316,00</w:t>
            </w:r>
          </w:p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D248B9">
            <w:r w:rsidRPr="00521806">
              <w:t>Затраты на содержание имущества включают в себя:</w:t>
            </w:r>
          </w:p>
          <w:p w:rsidR="00BE0E3B" w:rsidRPr="00521806" w:rsidRDefault="00BE0E3B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BE0E3B" w:rsidRPr="00521806" w:rsidRDefault="00BE0E3B" w:rsidP="00D248B9">
            <w:r w:rsidRPr="00521806">
              <w:t>затраты на оплату услуг по обслуживанию и уборке помещения;</w:t>
            </w:r>
          </w:p>
          <w:p w:rsidR="00BE0E3B" w:rsidRPr="00521806" w:rsidRDefault="00BE0E3B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BE0E3B" w:rsidRPr="00521806" w:rsidRDefault="00BE0E3B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проведение текущего ремонта помещения (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2" o:spid="_x0000_i1061" type="#_x0000_t75" style="width:17.25pt;height:17.25pt;visibility:visible">
                  <v:imagedata r:id="rId4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исходя из установленной в МО МО Комендантский аэродром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      </w:r>
          </w:p>
          <w:p w:rsidR="00BE0E3B" w:rsidRPr="00521806" w:rsidRDefault="005D06B4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1" o:spid="_x0000_i1062" type="#_x0000_t75" style="width:93pt;height:32.25pt;visibility:visible">
                  <v:imagedata r:id="rId45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pict>
                <v:shape id="Рисунок 50" o:spid="_x0000_i1063" type="#_x0000_t75" style="width:19.5pt;height:17.25pt;visibility:visible">
                  <v:imagedata r:id="rId46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площадь i-го здания, планируемая к проведению текущего ремонта;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9" o:spid="_x0000_i1064" type="#_x0000_t75" style="width:19.5pt;height:17.25pt;visibility:visible">
                  <v:imagedata r:id="rId47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цена текущего ремонта 1 кв. метра площади i-го здания.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BE0E3B" w:rsidRPr="00521806" w:rsidRDefault="005D06B4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8" o:spid="_x0000_i1065" type="#_x0000_t75" style="width:108pt;height:32.25pt;visibility:visible">
                  <v:imagedata r:id="rId48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2.3.3.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603" w:type="dxa"/>
          </w:tcPr>
          <w:p w:rsidR="00BE0E3B" w:rsidRPr="003725CA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332 000,00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3754C8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603" w:type="dxa"/>
          </w:tcPr>
          <w:p w:rsidR="00BE0E3B" w:rsidRPr="00E61C73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116 316,00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 w:rsidR="005D06B4">
              <w:rPr>
                <w:noProof/>
              </w:rPr>
              <w:pict>
                <v:shape id="Рисунок 42" o:spid="_x0000_i1066" type="#_x0000_t75" style="width:19.5pt;height:19.5pt;visibility:visible">
                  <v:imagedata r:id="rId49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Рисунок 41" o:spid="_x0000_i1067" type="#_x0000_t75" style="width:105.75pt;height:36.75pt;visibility:visible">
                  <v:imagedata r:id="rId50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40" o:spid="_x0000_i1068" type="#_x0000_t75" style="width:24pt;height:19.5pt;visibility:visible">
                  <v:imagedata r:id="rId51" o:title=""/>
                </v:shape>
              </w:pict>
            </w:r>
            <w:r w:rsidR="00BE0E3B"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39" o:spid="_x0000_i1069" type="#_x0000_t75" style="width:21.75pt;height:19.5pt;visibility:visible">
                  <v:imagedata r:id="rId52" o:title=""/>
                </v:shape>
              </w:pict>
            </w:r>
            <w:r w:rsidR="00BE0E3B" w:rsidRPr="00521806">
              <w:t xml:space="preserve"> - цена обслуживания 1 i-го устройства.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764BBF" w:rsidRDefault="00BE0E3B" w:rsidP="00D248B9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563 126,00</w:t>
            </w:r>
          </w:p>
          <w:p w:rsidR="00BE0E3B" w:rsidRPr="00376420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1" w:type="dxa"/>
          </w:tcPr>
          <w:p w:rsidR="00BE0E3B" w:rsidRPr="00521806" w:rsidRDefault="00BE0E3B" w:rsidP="00D248B9">
            <w:r w:rsidRPr="00521806">
              <w:t>Затраты на приобретение прочих работ и услуг включают в себя:</w:t>
            </w:r>
          </w:p>
          <w:p w:rsidR="00BE0E3B" w:rsidRPr="00521806" w:rsidRDefault="00BE0E3B" w:rsidP="00D248B9">
            <w:r w:rsidRPr="00521806">
              <w:t>затраты на приобретение типографских работ и услуг;</w:t>
            </w:r>
          </w:p>
          <w:p w:rsidR="00BE0E3B" w:rsidRPr="00521806" w:rsidRDefault="00BE0E3B" w:rsidP="00D248B9">
            <w:r w:rsidRPr="00521806">
              <w:t>затраты на проведение диспансеризации работников;</w:t>
            </w:r>
          </w:p>
          <w:p w:rsidR="00BE0E3B" w:rsidRPr="00521806" w:rsidRDefault="00BE0E3B" w:rsidP="00D248B9">
            <w:r w:rsidRPr="00521806">
              <w:t>затраты на оплату услуг вневедомственной охраны;</w:t>
            </w:r>
          </w:p>
          <w:p w:rsidR="00BE0E3B" w:rsidRPr="00521806" w:rsidRDefault="00BE0E3B" w:rsidP="00D248B9">
            <w:r w:rsidRPr="00521806">
              <w:t>затраты на оплату труда независимых экспертов</w:t>
            </w:r>
          </w:p>
        </w:tc>
      </w:tr>
      <w:tr w:rsidR="00BE0E3B" w:rsidRPr="00FA2DF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</w:t>
            </w:r>
          </w:p>
        </w:tc>
        <w:tc>
          <w:tcPr>
            <w:tcW w:w="3969" w:type="dxa"/>
          </w:tcPr>
          <w:p w:rsidR="00BE0E3B" w:rsidRPr="00FA2DF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 xml:space="preserve">Затраты на приобретение типографских </w:t>
            </w:r>
            <w:r w:rsidRPr="00FA2DF6">
              <w:rPr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1603" w:type="dxa"/>
          </w:tcPr>
          <w:p w:rsidR="00BE0E3B" w:rsidRPr="0049554E" w:rsidRDefault="00BE0E3B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jc w:val="both"/>
            </w:pPr>
            <w:r w:rsidRPr="00521806">
              <w:t xml:space="preserve"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</w:t>
            </w:r>
            <w:r w:rsidRPr="00521806">
              <w:lastRenderedPageBreak/>
              <w:t>статьи 22 Закона 44-ФЗ.</w:t>
            </w:r>
          </w:p>
        </w:tc>
      </w:tr>
      <w:tr w:rsidR="00BE0E3B" w:rsidRPr="00FA2DF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2.4.1.1.</w:t>
            </w:r>
          </w:p>
        </w:tc>
        <w:tc>
          <w:tcPr>
            <w:tcW w:w="3969" w:type="dxa"/>
          </w:tcPr>
          <w:p w:rsidR="00BE0E3B" w:rsidRPr="00FA2DF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603" w:type="dxa"/>
          </w:tcPr>
          <w:p w:rsidR="00BE0E3B" w:rsidRPr="0049554E" w:rsidRDefault="00BE0E3B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603" w:type="dxa"/>
          </w:tcPr>
          <w:p w:rsidR="00BE0E3B" w:rsidRPr="0049554E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49554E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="005D06B4">
              <w:rPr>
                <w:noProof/>
                <w:position w:val="-12"/>
              </w:rPr>
              <w:pict>
                <v:shape id="Рисунок 38" o:spid="_x0000_i1070" type="#_x0000_t75" style="width:26.25pt;height:19.5pt;visibility:visible">
                  <v:imagedata r:id="rId5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pict>
                <v:shape id="Рисунок 37" o:spid="_x0000_i1071" type="#_x0000_t75" style="width:108pt;height:19.5pt;visibility:visible">
                  <v:imagedata r:id="rId54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pict>
                <v:shape id="Рисунок 36" o:spid="_x0000_i1072" type="#_x0000_t75" style="width:27.75pt;height:19.5pt;visibility:visible">
                  <v:imagedata r:id="rId55" o:title=""/>
                </v:shape>
              </w:pict>
            </w:r>
            <w:r w:rsidR="00BE0E3B" w:rsidRPr="00521806">
              <w:t xml:space="preserve"> - численность работников, подлежащих диспансеризации;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35" o:spid="_x0000_i1073" type="#_x0000_t75" style="width:26.25pt;height:19.5pt;visibility:visible">
                  <v:imagedata r:id="rId56" o:title=""/>
                </v:shape>
              </w:pict>
            </w:r>
            <w:r w:rsidR="00BE0E3B"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2.4.3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3" w:type="dxa"/>
          </w:tcPr>
          <w:p w:rsidR="00BE0E3B" w:rsidRPr="0049554E" w:rsidRDefault="00BE0E3B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195 000,00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4" o:spid="_x0000_i1074" type="#_x0000_t75" style="width:24pt;height:17.25pt;visibility:visible">
                  <v:imagedata r:id="rId57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0E3B" w:rsidRPr="00521806" w:rsidRDefault="005D06B4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3" o:spid="_x0000_i1075" type="#_x0000_t75" style="width:336.75pt;height:32.25pt;visibility:visible">
                  <v:imagedata r:id="rId58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2" o:spid="_x0000_i1076" type="#_x0000_t75" style="width:19.5pt;height:17.25pt;visibility:visible">
                  <v:imagedata r:id="rId59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1" o:spid="_x0000_i1077" type="#_x0000_t75" style="width:21.75pt;height:17.25pt;visibility:visible">
                  <v:imagedata r:id="rId60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0" o:spid="_x0000_i1078" type="#_x0000_t75" style="width:30pt;height:17.25pt;visibility:visible">
                  <v:imagedata r:id="rId61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9" o:spid="_x0000_i1079" type="#_x0000_t75" style="width:21.75pt;height:17.25pt;visibility:visible">
                  <v:imagedata r:id="rId62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8" o:spid="_x0000_i1080" type="#_x0000_t75" style="width:24pt;height:17.25pt;visibility:visible">
                  <v:imagedata r:id="rId63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7" o:spid="_x0000_i1081" type="#_x0000_t75" style="width:21.75pt;height:17.25pt;visibility:visible">
                  <v:imagedata r:id="rId64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w:pict>
                <v:shape id="Рисунок 26" o:spid="_x0000_i1082" type="#_x0000_t75" style="width:21.75pt;height:17.25pt;visibility:visible">
                  <v:imagedata r:id="rId65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5" o:spid="_x0000_i1083" type="#_x0000_t75" style="width:26.25pt;height:17.25pt;visibility:visible">
                  <v:imagedata r:id="rId66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603" w:type="dxa"/>
          </w:tcPr>
          <w:p w:rsidR="00BE0E3B" w:rsidRDefault="00BE0E3B" w:rsidP="00C86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118 126,00</w:t>
            </w:r>
          </w:p>
        </w:tc>
        <w:tc>
          <w:tcPr>
            <w:tcW w:w="8461" w:type="dxa"/>
          </w:tcPr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_x0000_i1084" type="#_x0000_t75" style="width:19.5pt;height:19.5pt;visibility:visible">
                  <v:imagedata r:id="rId67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A72D44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" o:spid="_x0000_i1085" type="#_x0000_t75" style="width:108.75pt;height:36.75pt;visibility:visible">
                  <v:imagedata r:id="rId68" o:title=""/>
                </v:shape>
              </w:pict>
            </w:r>
            <w:r w:rsidR="00BE0E3B"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" o:spid="_x0000_i1086" type="#_x0000_t75" style="width:24.75pt;height:19.5pt;visibility:visible">
                  <v:imagedata r:id="rId69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" o:spid="_x0000_i1087" type="#_x0000_t75" style="width:21.75pt;height:19.5pt;visibility:visible">
                  <v:imagedata r:id="rId70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476 000,00</w:t>
            </w:r>
          </w:p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</w:tcPr>
          <w:p w:rsidR="00BE0E3B" w:rsidRPr="003529C6" w:rsidRDefault="00BE0E3B" w:rsidP="00C55F5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  <w:r w:rsidRPr="003529C6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="005D06B4">
              <w:rPr>
                <w:noProof/>
                <w:position w:val="-12"/>
              </w:rPr>
              <w:pict>
                <v:shape id="Рисунок 19" o:spid="_x0000_i1088" type="#_x0000_t75" style="width:26.25pt;height:19.5pt;visibility:visible">
                  <v:imagedata r:id="rId71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18" o:spid="_x0000_i1089" type="#_x0000_t75" style="width:168.75pt;height:36.75pt;visibility:visible">
                  <v:imagedata r:id="rId72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7" o:spid="_x0000_i1090" type="#_x0000_t75" style="width:34.5pt;height:19.5pt;visibility:visible">
                  <v:imagedata r:id="rId73" o:title=""/>
                </v:shape>
              </w:pict>
            </w:r>
            <w:r w:rsidR="00BE0E3B"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6" o:spid="_x0000_i1091" type="#_x0000_t75" style="width:21.75pt;height:19.5pt;visibility:visible">
                  <v:imagedata r:id="rId74" o:title=""/>
                </v:shape>
              </w:pict>
            </w:r>
            <w:r w:rsidR="00BE0E3B" w:rsidRPr="00521806">
              <w:t xml:space="preserve"> - расчетная численность основных работников, определяемая в соответствии с </w:t>
            </w:r>
            <w:hyperlink r:id="rId75" w:history="1">
              <w:r w:rsidR="00BE0E3B" w:rsidRPr="00521806">
                <w:t>пунктами 17</w:t>
              </w:r>
            </w:hyperlink>
            <w:r w:rsidR="00BE0E3B" w:rsidRPr="00521806">
              <w:t xml:space="preserve"> - </w:t>
            </w:r>
            <w:hyperlink r:id="rId76" w:history="1">
              <w:r w:rsidR="00BE0E3B" w:rsidRPr="00521806">
                <w:t>22</w:t>
              </w:r>
            </w:hyperlink>
            <w:r w:rsidR="00BE0E3B" w:rsidRPr="00521806">
              <w:t xml:space="preserve"> общих требований к определению нормативных затрат;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5" o:spid="_x0000_i1092" type="#_x0000_t75" style="width:30pt;height:19.5pt;visibility:visible">
                  <v:imagedata r:id="rId77" o:title=""/>
                </v:shape>
              </w:pict>
            </w:r>
            <w:r w:rsidR="00BE0E3B" w:rsidRPr="00521806">
              <w:t xml:space="preserve"> - цена i-го предмета канцелярских принадлежностей.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="005D06B4">
              <w:rPr>
                <w:noProof/>
                <w:position w:val="-12"/>
              </w:rPr>
              <w:pict>
                <v:shape id="Рисунок 14" o:spid="_x0000_i1093" type="#_x0000_t75" style="width:19.5pt;height:19.5pt;visibility:visible">
                  <v:imagedata r:id="rId78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Рисунок 13" o:spid="_x0000_i1094" type="#_x0000_t75" style="width:110.25pt;height:36.75pt;visibility:visible">
                  <v:imagedata r:id="rId79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lastRenderedPageBreak/>
              <w:pict>
                <v:shape id="Рисунок 12" o:spid="_x0000_i1095" type="#_x0000_t75" style="width:24pt;height:19.5pt;visibility:visible">
                  <v:imagedata r:id="rId80" o:title=""/>
                </v:shape>
              </w:pict>
            </w:r>
            <w:r w:rsidR="00BE0E3B"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Рисунок 11" o:spid="_x0000_i1096" type="#_x0000_t75" style="width:26.25pt;height:19.5pt;visibility:visible">
                  <v:imagedata r:id="rId81" o:title=""/>
                </v:shape>
              </w:pict>
            </w:r>
            <w:r w:rsidR="00BE0E3B" w:rsidRPr="00521806">
              <w:t xml:space="preserve"> - количество i-го хозяйственного товара и принадлежности.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10" o:spid="_x0000_i1097" type="#_x0000_t75" style="width:19.5pt;height:17.25pt;visibility:visible">
                  <v:imagedata r:id="rId82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521806" w:rsidRDefault="005D06B4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9" o:spid="_x0000_i1098" type="#_x0000_t75" style="width:149.25pt;height:32.25pt;visibility:visible">
                  <v:imagedata r:id="rId83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="005D06B4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" o:spid="_x0000_i1099" type="#_x0000_t75" style="width:26.25pt;height:17.25pt;visibility:visible">
                  <v:imagedata r:id="rId8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" o:spid="_x0000_i1100" type="#_x0000_t75" style="width:24pt;height:17.25pt;visibility:visible">
                  <v:imagedata r:id="rId85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BE0E3B" w:rsidRPr="00521806" w:rsidRDefault="005D06B4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6" o:spid="_x0000_i1101" type="#_x0000_t75" style="width:26.25pt;height:17.25pt;visibility:visible">
                  <v:imagedata r:id="rId86" o:title=""/>
                </v:shape>
              </w:pict>
            </w:r>
            <w:r w:rsidR="00BE0E3B"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r w:rsidRPr="00521806">
              <w:t>Затраты на дополнительное профессиональное образование включают в себя:</w:t>
            </w:r>
          </w:p>
          <w:p w:rsidR="00BE0E3B" w:rsidRPr="00521806" w:rsidRDefault="00BE0E3B" w:rsidP="00D248B9">
            <w:r w:rsidRPr="00521806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3529C6">
              <w:rPr>
                <w:rFonts w:ascii="Times New Roman" w:hAnsi="Times New Roman" w:cs="Times New Roman"/>
                <w:bCs/>
                <w:color w:val="000001"/>
                <w:szCs w:val="22"/>
              </w:rPr>
              <w:t>проведению обучающих семинаров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образовательных услуг по профессиональной переподготовке и повышению квалификации (</w:t>
            </w:r>
            <w:r w:rsidR="005D06B4">
              <w:rPr>
                <w:noProof/>
                <w:position w:val="-12"/>
              </w:rPr>
              <w:pict>
                <v:shape id="Рисунок 5" o:spid="_x0000_i1102" type="#_x0000_t75" style="width:21.75pt;height:19.5pt;visibility:visible">
                  <v:imagedata r:id="rId87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103" type="#_x0000_t75" style="width:120.75pt;height:36.75pt;visibility:visible">
                  <v:imagedata r:id="rId88" o:title=""/>
                </v:shape>
              </w:pict>
            </w:r>
            <w:r w:rsidR="00BE0E3B"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="005D06B4">
              <w:rPr>
                <w:noProof/>
                <w:position w:val="-12"/>
              </w:rPr>
              <w:pict>
                <v:shape id="_x0000_i1104" type="#_x0000_t75" style="width:27.75pt;height:19.5pt;visibility:visible">
                  <v:imagedata r:id="rId89" o:title=""/>
                </v:shape>
              </w:pict>
            </w:r>
            <w:r w:rsidRPr="00521806">
              <w:t>- количество работников, направляемых на i-й вид дополнительного профессионального образования;</w:t>
            </w:r>
          </w:p>
          <w:p w:rsidR="00BE0E3B" w:rsidRPr="00521806" w:rsidRDefault="005D06B4" w:rsidP="00D248B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105" type="#_x0000_t75" style="width:26.25pt;height:19.5pt;visibility:visible">
                  <v:imagedata r:id="rId90" o:title=""/>
                </v:shape>
              </w:pict>
            </w:r>
            <w:r w:rsidR="00BE0E3B" w:rsidRPr="00521806"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BE0E3B" w:rsidRPr="00521806" w:rsidRDefault="00BE0E3B" w:rsidP="00D248B9">
            <w:r w:rsidRPr="00521806">
              <w:t xml:space="preserve">        Затраты на приобретение образовательных услуг по профессиональной переподготовке и повышению квалификации, </w:t>
            </w:r>
            <w:r w:rsidRPr="00521806">
              <w:rPr>
                <w:bCs/>
                <w:color w:val="000001"/>
              </w:rPr>
              <w:t>проведению обучающих семинаров</w:t>
            </w:r>
            <w:r w:rsidRPr="00521806">
              <w:t xml:space="preserve"> определяются в соответствии со </w:t>
            </w:r>
            <w:hyperlink r:id="rId91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2.7.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по архивной обработке, подготовке архивных дел (материалов)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8461" w:type="dxa"/>
          </w:tcPr>
          <w:p w:rsidR="00BE0E3B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Расчет нормативных затрат на услуги по архивной обработке, подготовке архивных дел (материалов) определяется по формуле:</w:t>
            </w:r>
          </w:p>
          <w:p w:rsidR="00BE0E3B" w:rsidRPr="00521806" w:rsidRDefault="00BE0E3B" w:rsidP="00D248B9">
            <w:pPr>
              <w:pStyle w:val="ConsPlusNormal0"/>
              <w:rPr>
                <w:sz w:val="20"/>
              </w:rPr>
            </w:pPr>
            <w:r w:rsidRPr="00521806">
              <w:rPr>
                <w:sz w:val="20"/>
              </w:rPr>
              <w:t>З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 xml:space="preserve"> = Q</w:t>
            </w:r>
            <w:r w:rsidRPr="00521806">
              <w:rPr>
                <w:sz w:val="20"/>
                <w:vertAlign w:val="subscript"/>
              </w:rPr>
              <w:t>ад</w:t>
            </w:r>
            <w:r w:rsidRPr="00521806">
              <w:rPr>
                <w:sz w:val="20"/>
              </w:rPr>
              <w:t xml:space="preserve"> × Р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>,</w:t>
            </w:r>
          </w:p>
          <w:p w:rsidR="00BE0E3B" w:rsidRPr="00521806" w:rsidRDefault="00BE0E3B" w:rsidP="00D248B9">
            <w:pPr>
              <w:autoSpaceDE w:val="0"/>
              <w:autoSpaceDN w:val="0"/>
              <w:adjustRightInd w:val="0"/>
              <w:jc w:val="both"/>
            </w:pPr>
            <w:r w:rsidRPr="00521806">
              <w:t>где: Qад - количество архивных дел, планируемых к сдаче в архив;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Рпад - цена формирования 1 архивного дела, определяемая в соответствии с положениями статьи 22 Закона 44-ФЗ и рассчитываемая в ценах на очередной финансовый год и на плановый период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</w:t>
            </w:r>
          </w:p>
        </w:tc>
        <w:tc>
          <w:tcPr>
            <w:tcW w:w="3969" w:type="dxa"/>
          </w:tcPr>
          <w:p w:rsidR="00BE0E3B" w:rsidRPr="003529C6" w:rsidRDefault="00BE0E3B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603" w:type="dxa"/>
          </w:tcPr>
          <w:p w:rsidR="00BE0E3B" w:rsidRPr="006D20A1" w:rsidRDefault="002B6632" w:rsidP="00966D5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BE0E3B" w:rsidRPr="00764BBF">
              <w:rPr>
                <w:bCs/>
                <w:color w:val="000000"/>
                <w:sz w:val="22"/>
                <w:szCs w:val="22"/>
              </w:rPr>
              <w:t>00 000,00</w:t>
            </w:r>
          </w:p>
        </w:tc>
        <w:tc>
          <w:tcPr>
            <w:tcW w:w="8461" w:type="dxa"/>
          </w:tcPr>
          <w:p w:rsidR="00BE0E3B" w:rsidRPr="00521806" w:rsidRDefault="00BE0E3B" w:rsidP="002F60AA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Default="00BE0E3B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2.8.1.</w:t>
            </w:r>
          </w:p>
        </w:tc>
        <w:tc>
          <w:tcPr>
            <w:tcW w:w="3969" w:type="dxa"/>
          </w:tcPr>
          <w:p w:rsidR="00BE0E3B" w:rsidRPr="003529C6" w:rsidRDefault="00BE0E3B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2F60AA">
              <w:rPr>
                <w:sz w:val="22"/>
                <w:szCs w:val="22"/>
              </w:rPr>
              <w:t>приобретение оргтехники и комплектующих</w:t>
            </w:r>
          </w:p>
        </w:tc>
        <w:tc>
          <w:tcPr>
            <w:tcW w:w="1603" w:type="dxa"/>
          </w:tcPr>
          <w:p w:rsidR="00BE0E3B" w:rsidRPr="006D20A1" w:rsidRDefault="002B6632" w:rsidP="00966D5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BE0E3B" w:rsidRPr="00483402">
              <w:rPr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8461" w:type="dxa"/>
          </w:tcPr>
          <w:p w:rsidR="00BE0E3B" w:rsidRPr="00521806" w:rsidRDefault="00BE0E3B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>Затраты на приобретение основных средств включают в себя затраты на приобретение оргтехники и комплектующих, определяются в соответствии с положениями статьи 22 Закона 44-ФЗ.</w:t>
            </w:r>
          </w:p>
        </w:tc>
      </w:tr>
    </w:tbl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Pr="00044513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  <w:r w:rsidRPr="00044513">
        <w:rPr>
          <w:rFonts w:ascii="Times New Roman" w:hAnsi="Times New Roman" w:cs="Times New Roman"/>
          <w:sz w:val="20"/>
        </w:rPr>
        <w:t xml:space="preserve"> к ПМА</w:t>
      </w:r>
    </w:p>
    <w:p w:rsidR="00044513" w:rsidRPr="00044513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044513">
        <w:rPr>
          <w:rFonts w:ascii="Times New Roman" w:hAnsi="Times New Roman" w:cs="Times New Roman"/>
          <w:sz w:val="20"/>
        </w:rPr>
        <w:t>от 06.12.2021г. № 590</w:t>
      </w:r>
    </w:p>
    <w:p w:rsidR="00BE0E3B" w:rsidRDefault="00044513" w:rsidP="0004451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044513">
        <w:rPr>
          <w:rFonts w:ascii="Times New Roman" w:hAnsi="Times New Roman" w:cs="Times New Roman"/>
          <w:sz w:val="20"/>
        </w:rPr>
        <w:t>от 28.10.2021г. № 555</w:t>
      </w:r>
    </w:p>
    <w:p w:rsidR="00044513" w:rsidRPr="00044513" w:rsidRDefault="00044513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44513">
        <w:rPr>
          <w:rFonts w:ascii="Times New Roman" w:hAnsi="Times New Roman" w:cs="Times New Roman"/>
          <w:b/>
          <w:sz w:val="20"/>
        </w:rPr>
        <w:t>НОРМАТИВЫ</w:t>
      </w:r>
    </w:p>
    <w:p w:rsidR="00044513" w:rsidRPr="00044513" w:rsidRDefault="00044513" w:rsidP="0004451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44513">
        <w:rPr>
          <w:rFonts w:ascii="Times New Roman" w:hAnsi="Times New Roman" w:cs="Times New Roman"/>
          <w:b/>
          <w:sz w:val="20"/>
        </w:rPr>
        <w:t>це</w:t>
      </w:r>
      <w:r w:rsidRPr="00044513">
        <w:rPr>
          <w:rFonts w:ascii="Times New Roman" w:hAnsi="Times New Roman" w:cs="Times New Roman"/>
          <w:b/>
          <w:sz w:val="20"/>
        </w:rPr>
        <w:t>ны товаров, работ, услуг на 2022</w:t>
      </w:r>
      <w:r w:rsidRPr="00044513">
        <w:rPr>
          <w:rFonts w:ascii="Times New Roman" w:hAnsi="Times New Roman" w:cs="Times New Roman"/>
          <w:b/>
          <w:sz w:val="20"/>
        </w:rPr>
        <w:t xml:space="preserve"> год</w:t>
      </w:r>
    </w:p>
    <w:p w:rsidR="00044513" w:rsidRPr="00764C10" w:rsidRDefault="00044513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5"/>
        <w:gridCol w:w="4536"/>
        <w:gridCol w:w="2976"/>
        <w:gridCol w:w="1843"/>
      </w:tblGrid>
      <w:tr w:rsidR="00BE0E3B" w:rsidRPr="00A07A10" w:rsidTr="008E2883">
        <w:trPr>
          <w:trHeight w:val="311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BE0E3B" w:rsidRPr="00A07A10" w:rsidTr="008E2883">
        <w:trPr>
          <w:trHeight w:val="409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1228,57</w:t>
            </w:r>
          </w:p>
        </w:tc>
      </w:tr>
      <w:tr w:rsidR="00BE0E3B" w:rsidRPr="00A07A10" w:rsidTr="008E2883">
        <w:trPr>
          <w:trHeight w:val="667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  <w:r>
              <w:rPr>
                <w:sz w:val="22"/>
                <w:szCs w:val="22"/>
              </w:rPr>
              <w:t xml:space="preserve"> за 1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A07A10">
              <w:rPr>
                <w:sz w:val="22"/>
                <w:szCs w:val="22"/>
              </w:rPr>
              <w:t>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10416,70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7075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5017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6666,67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2571,43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EB574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 xml:space="preserve">рублей </w:t>
            </w:r>
            <w:r w:rsidR="00EB574A">
              <w:rPr>
                <w:rFonts w:ascii="Times New Roman" w:hAnsi="Times New Roman" w:cs="Times New Roman"/>
                <w:szCs w:val="22"/>
              </w:rPr>
              <w:t>з</w:t>
            </w:r>
            <w:r w:rsidRPr="00A07A10">
              <w:rPr>
                <w:rFonts w:ascii="Times New Roman" w:hAnsi="Times New Roman" w:cs="Times New Roman"/>
                <w:szCs w:val="22"/>
              </w:rPr>
              <w:t>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EB574A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BE0E3B" w:rsidRPr="00A07A10" w:rsidTr="005D06B4">
        <w:trPr>
          <w:trHeight w:val="540"/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3504,00</w:t>
            </w:r>
          </w:p>
        </w:tc>
      </w:tr>
      <w:tr w:rsidR="00CC455B" w:rsidRPr="00A07A10" w:rsidTr="005D06B4">
        <w:trPr>
          <w:trHeight w:val="352"/>
          <w:jc w:val="center"/>
        </w:trPr>
        <w:tc>
          <w:tcPr>
            <w:tcW w:w="635" w:type="dxa"/>
            <w:vAlign w:val="center"/>
          </w:tcPr>
          <w:p w:rsidR="00CC455B" w:rsidRPr="00120AA7" w:rsidRDefault="00CC455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CC455B" w:rsidRDefault="00EB574A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2976" w:type="dxa"/>
            <w:vAlign w:val="center"/>
          </w:tcPr>
          <w:p w:rsidR="00CC455B" w:rsidRDefault="00EB574A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</w:t>
            </w:r>
            <w:r w:rsidRPr="00EB574A">
              <w:rPr>
                <w:rFonts w:ascii="Times New Roman" w:hAnsi="Times New Roman" w:cs="Times New Roman"/>
                <w:szCs w:val="22"/>
              </w:rPr>
              <w:t>а 1 шт.</w:t>
            </w:r>
          </w:p>
        </w:tc>
        <w:tc>
          <w:tcPr>
            <w:tcW w:w="1843" w:type="dxa"/>
            <w:vAlign w:val="center"/>
          </w:tcPr>
          <w:p w:rsidR="00CC455B" w:rsidRDefault="00EB574A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400 000,00</w:t>
            </w:r>
          </w:p>
        </w:tc>
      </w:tr>
    </w:tbl>
    <w:p w:rsidR="00BE0E3B" w:rsidRPr="00764C10" w:rsidRDefault="00BE0E3B" w:rsidP="00E64030">
      <w:pPr>
        <w:rPr>
          <w:sz w:val="24"/>
          <w:szCs w:val="24"/>
        </w:rPr>
      </w:pPr>
    </w:p>
    <w:p w:rsidR="00BE0E3B" w:rsidRDefault="00BE0E3B" w:rsidP="00F134F5">
      <w:pPr>
        <w:rPr>
          <w:sz w:val="10"/>
          <w:szCs w:val="10"/>
        </w:rPr>
      </w:pPr>
    </w:p>
    <w:sectPr w:rsidR="00BE0E3B" w:rsidSect="00044513">
      <w:pgSz w:w="16840" w:h="11907" w:orient="landscape"/>
      <w:pgMar w:top="1135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3B" w:rsidRDefault="00BE0E3B" w:rsidP="00294011">
      <w:r>
        <w:separator/>
      </w:r>
    </w:p>
  </w:endnote>
  <w:endnote w:type="continuationSeparator" w:id="0">
    <w:p w:rsidR="00BE0E3B" w:rsidRDefault="00BE0E3B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3B" w:rsidRDefault="00BE0E3B" w:rsidP="00294011">
      <w:r>
        <w:separator/>
      </w:r>
    </w:p>
  </w:footnote>
  <w:footnote w:type="continuationSeparator" w:id="0">
    <w:p w:rsidR="00BE0E3B" w:rsidRDefault="00BE0E3B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4513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D5BC4"/>
    <w:rsid w:val="000D6E8D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5817"/>
    <w:rsid w:val="00120AA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058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B6632"/>
    <w:rsid w:val="002C33EF"/>
    <w:rsid w:val="002C5C7C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29C6"/>
    <w:rsid w:val="00354C93"/>
    <w:rsid w:val="00355F9C"/>
    <w:rsid w:val="00357823"/>
    <w:rsid w:val="00360A99"/>
    <w:rsid w:val="003648E4"/>
    <w:rsid w:val="00370A98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C202D"/>
    <w:rsid w:val="003D0CAE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65B1D"/>
    <w:rsid w:val="00477D7D"/>
    <w:rsid w:val="00483085"/>
    <w:rsid w:val="00483402"/>
    <w:rsid w:val="00485FFC"/>
    <w:rsid w:val="00487B23"/>
    <w:rsid w:val="004923F4"/>
    <w:rsid w:val="0049554E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E741E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136C"/>
    <w:rsid w:val="005856F9"/>
    <w:rsid w:val="0059364B"/>
    <w:rsid w:val="005B57A4"/>
    <w:rsid w:val="005C486F"/>
    <w:rsid w:val="005C4A80"/>
    <w:rsid w:val="005C5449"/>
    <w:rsid w:val="005D06B4"/>
    <w:rsid w:val="005D1325"/>
    <w:rsid w:val="005D21AE"/>
    <w:rsid w:val="005D7970"/>
    <w:rsid w:val="005E1BCD"/>
    <w:rsid w:val="005E2C3E"/>
    <w:rsid w:val="005F792D"/>
    <w:rsid w:val="00600F1F"/>
    <w:rsid w:val="00606F8E"/>
    <w:rsid w:val="00610F2C"/>
    <w:rsid w:val="00622CCC"/>
    <w:rsid w:val="00625E5D"/>
    <w:rsid w:val="00631F8D"/>
    <w:rsid w:val="00635DA3"/>
    <w:rsid w:val="00641C8A"/>
    <w:rsid w:val="00645F0C"/>
    <w:rsid w:val="0065017E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4BBF"/>
    <w:rsid w:val="00764C10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6328"/>
    <w:rsid w:val="007B3C46"/>
    <w:rsid w:val="007B4DAB"/>
    <w:rsid w:val="007B6E02"/>
    <w:rsid w:val="007B6E31"/>
    <w:rsid w:val="007B743A"/>
    <w:rsid w:val="007C007E"/>
    <w:rsid w:val="007C563A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5061"/>
    <w:rsid w:val="0084159C"/>
    <w:rsid w:val="008438BF"/>
    <w:rsid w:val="00844863"/>
    <w:rsid w:val="00851326"/>
    <w:rsid w:val="008518CC"/>
    <w:rsid w:val="00853DB2"/>
    <w:rsid w:val="00876115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60625"/>
    <w:rsid w:val="009666C1"/>
    <w:rsid w:val="00966D54"/>
    <w:rsid w:val="00981CBA"/>
    <w:rsid w:val="0098233F"/>
    <w:rsid w:val="00983DFC"/>
    <w:rsid w:val="009843B8"/>
    <w:rsid w:val="009878B6"/>
    <w:rsid w:val="00990C6C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5CA2"/>
    <w:rsid w:val="00A222DF"/>
    <w:rsid w:val="00A22DFF"/>
    <w:rsid w:val="00A265E2"/>
    <w:rsid w:val="00A32A22"/>
    <w:rsid w:val="00A331A5"/>
    <w:rsid w:val="00A46444"/>
    <w:rsid w:val="00A577E8"/>
    <w:rsid w:val="00A57B1F"/>
    <w:rsid w:val="00A6389F"/>
    <w:rsid w:val="00A67C89"/>
    <w:rsid w:val="00A70750"/>
    <w:rsid w:val="00A72D44"/>
    <w:rsid w:val="00A75806"/>
    <w:rsid w:val="00A76868"/>
    <w:rsid w:val="00A77183"/>
    <w:rsid w:val="00A77550"/>
    <w:rsid w:val="00A80D99"/>
    <w:rsid w:val="00A8160C"/>
    <w:rsid w:val="00A90D94"/>
    <w:rsid w:val="00A92E90"/>
    <w:rsid w:val="00AA39EE"/>
    <w:rsid w:val="00AA422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4908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E0E3B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455B"/>
    <w:rsid w:val="00CC5A43"/>
    <w:rsid w:val="00CC7C27"/>
    <w:rsid w:val="00CE2AF7"/>
    <w:rsid w:val="00CF45F5"/>
    <w:rsid w:val="00CF6FD6"/>
    <w:rsid w:val="00D033E8"/>
    <w:rsid w:val="00D03948"/>
    <w:rsid w:val="00D179AE"/>
    <w:rsid w:val="00D2315F"/>
    <w:rsid w:val="00D248B9"/>
    <w:rsid w:val="00D2518A"/>
    <w:rsid w:val="00D323D6"/>
    <w:rsid w:val="00D3280F"/>
    <w:rsid w:val="00D42B98"/>
    <w:rsid w:val="00D472E6"/>
    <w:rsid w:val="00D50439"/>
    <w:rsid w:val="00D72AEB"/>
    <w:rsid w:val="00D739FB"/>
    <w:rsid w:val="00D811F2"/>
    <w:rsid w:val="00D82DCE"/>
    <w:rsid w:val="00D8607F"/>
    <w:rsid w:val="00D865E3"/>
    <w:rsid w:val="00D8760E"/>
    <w:rsid w:val="00D922C0"/>
    <w:rsid w:val="00DA0B20"/>
    <w:rsid w:val="00DA552A"/>
    <w:rsid w:val="00DA613F"/>
    <w:rsid w:val="00DA6445"/>
    <w:rsid w:val="00DB1440"/>
    <w:rsid w:val="00DB7079"/>
    <w:rsid w:val="00DC295C"/>
    <w:rsid w:val="00DC72B1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61C73"/>
    <w:rsid w:val="00E62A2D"/>
    <w:rsid w:val="00E63C5D"/>
    <w:rsid w:val="00E64030"/>
    <w:rsid w:val="00E64454"/>
    <w:rsid w:val="00E65D62"/>
    <w:rsid w:val="00E81CAB"/>
    <w:rsid w:val="00E82C5D"/>
    <w:rsid w:val="00E840D1"/>
    <w:rsid w:val="00E844F9"/>
    <w:rsid w:val="00E86DFA"/>
    <w:rsid w:val="00E926FD"/>
    <w:rsid w:val="00E9564F"/>
    <w:rsid w:val="00E96F77"/>
    <w:rsid w:val="00EA789F"/>
    <w:rsid w:val="00EB0620"/>
    <w:rsid w:val="00EB36EB"/>
    <w:rsid w:val="00EB574A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2DF6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Стиль1"/>
    <w:basedOn w:val="a"/>
    <w:uiPriority w:val="99"/>
    <w:rsid w:val="0058136C"/>
    <w:rPr>
      <w:sz w:val="24"/>
    </w:rPr>
  </w:style>
  <w:style w:type="paragraph" w:styleId="21">
    <w:name w:val="Body Text 2"/>
    <w:basedOn w:val="a"/>
    <w:link w:val="22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8136C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png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image" Target="media/image8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png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png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png"/><Relationship Id="rId75" Type="http://schemas.openxmlformats.org/officeDocument/2006/relationships/hyperlink" Target="consultantplus://offline/ref=959CDEEE8C252947108134B57C214FA7C720D8C134ED96059459ABA671733FF23494574AADEC15EEm1B7K" TargetMode="External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hyperlink" Target="consultantplus://offline/ref=959CDEEE8C252947108134B57C214FA7C720D4C036E796059459ABA671733FF23494574AADEC16E7m1B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hyperlink" Target="consultantplus://offline/ref=959CDEEE8C252947108134B57C214FA7C720D8C134ED96059459ABA671733FF23494574AADEC16E6m1B5K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4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2021-10-13T13:51:00Z</dcterms:created>
  <dcterms:modified xsi:type="dcterms:W3CDTF">2021-12-20T11:36:00Z</dcterms:modified>
</cp:coreProperties>
</file>